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0F" w:rsidRPr="009C0E0B" w:rsidRDefault="00E2140F" w:rsidP="00AA38B6">
      <w:pPr>
        <w:tabs>
          <w:tab w:val="center" w:pos="4536"/>
          <w:tab w:val="left" w:pos="7800"/>
        </w:tabs>
        <w:rPr>
          <w:b/>
        </w:rPr>
      </w:pPr>
      <w:r>
        <w:rPr>
          <w:sz w:val="20"/>
        </w:rPr>
        <w:t xml:space="preserve">            </w:t>
      </w:r>
      <w:r w:rsidRPr="009C0E0B">
        <w:rPr>
          <w:sz w:val="20"/>
        </w:rPr>
        <w:tab/>
      </w:r>
      <w:r>
        <w:rPr>
          <w:sz w:val="20"/>
        </w:rPr>
        <w:t xml:space="preserve">         </w:t>
      </w:r>
      <w:r w:rsidR="001E0F7E">
        <w:rPr>
          <w:noProof/>
          <w:sz w:val="20"/>
        </w:rPr>
        <w:drawing>
          <wp:inline distT="0" distB="0" distL="0" distR="0">
            <wp:extent cx="714375" cy="800100"/>
            <wp:effectExtent l="0" t="0" r="952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p w:rsidR="00E2140F" w:rsidRPr="009C0E0B" w:rsidRDefault="00E2140F" w:rsidP="00AA38B6">
      <w:pPr>
        <w:tabs>
          <w:tab w:val="center" w:pos="4394"/>
        </w:tabs>
        <w:rPr>
          <w:sz w:val="22"/>
        </w:rPr>
      </w:pPr>
    </w:p>
    <w:p w:rsidR="00E2140F" w:rsidRPr="009C0E0B" w:rsidRDefault="00E2140F" w:rsidP="00AA38B6">
      <w:pPr>
        <w:pStyle w:val="Pis"/>
        <w:tabs>
          <w:tab w:val="clear" w:pos="9072"/>
          <w:tab w:val="center" w:pos="4320"/>
          <w:tab w:val="center" w:pos="4394"/>
          <w:tab w:val="right" w:pos="9720"/>
        </w:tabs>
        <w:jc w:val="center"/>
        <w:rPr>
          <w:spacing w:val="80"/>
          <w:lang w:val="et-EE"/>
        </w:rPr>
      </w:pPr>
      <w:r w:rsidRPr="009C0E0B">
        <w:rPr>
          <w:spacing w:val="80"/>
          <w:sz w:val="44"/>
          <w:szCs w:val="44"/>
          <w:lang w:val="et-EE"/>
        </w:rPr>
        <w:t>KOHTUOTSUS</w:t>
      </w:r>
    </w:p>
    <w:p w:rsidR="00E2140F" w:rsidRPr="004A34B1" w:rsidRDefault="00E2140F" w:rsidP="00AA38B6">
      <w:pPr>
        <w:pStyle w:val="Pis"/>
        <w:tabs>
          <w:tab w:val="center" w:pos="4320"/>
          <w:tab w:val="center" w:pos="4394"/>
        </w:tabs>
        <w:jc w:val="center"/>
        <w:rPr>
          <w:lang w:val="et-EE"/>
        </w:rPr>
      </w:pPr>
      <w:r w:rsidRPr="004A34B1">
        <w:rPr>
          <w:lang w:val="et-EE"/>
        </w:rPr>
        <w:t>EESTI VABARIIGI NIMEL</w:t>
      </w:r>
    </w:p>
    <w:p w:rsidR="00E2140F" w:rsidRPr="003F0345" w:rsidRDefault="00E2140F" w:rsidP="00AA38B6">
      <w:pPr>
        <w:pStyle w:val="Pis"/>
        <w:tabs>
          <w:tab w:val="center" w:pos="4320"/>
          <w:tab w:val="center" w:pos="4394"/>
        </w:tabs>
        <w:jc w:val="center"/>
        <w:rPr>
          <w:lang w:val="et-EE"/>
        </w:rPr>
      </w:pPr>
      <w:r w:rsidRPr="003F0345">
        <w:rPr>
          <w:lang w:val="et-EE"/>
        </w:rPr>
        <w:t>Tagaseljaotsus</w:t>
      </w:r>
    </w:p>
    <w:p w:rsidR="00E2140F" w:rsidRDefault="00E2140F" w:rsidP="00AA38B6">
      <w:pPr>
        <w:pStyle w:val="Pis"/>
        <w:tabs>
          <w:tab w:val="center" w:pos="4320"/>
          <w:tab w:val="center" w:pos="4394"/>
        </w:tabs>
        <w:jc w:val="center"/>
        <w:rPr>
          <w:lang w:val="et-EE"/>
        </w:rPr>
      </w:pPr>
    </w:p>
    <w:tbl>
      <w:tblPr>
        <w:tblW w:w="9828" w:type="dxa"/>
        <w:tblLayout w:type="fixed"/>
        <w:tblLook w:val="0000" w:firstRow="0" w:lastRow="0" w:firstColumn="0" w:lastColumn="0" w:noHBand="0" w:noVBand="0"/>
      </w:tblPr>
      <w:tblGrid>
        <w:gridCol w:w="3348"/>
        <w:gridCol w:w="6480"/>
      </w:tblGrid>
      <w:tr w:rsidR="00E2140F" w:rsidRPr="009C0E0B" w:rsidTr="00C27F2C">
        <w:tc>
          <w:tcPr>
            <w:tcW w:w="3348" w:type="dxa"/>
          </w:tcPr>
          <w:p w:rsidR="00E2140F" w:rsidRPr="00537196" w:rsidRDefault="00E2140F" w:rsidP="00663C97">
            <w:pPr>
              <w:spacing w:before="0" w:after="0"/>
              <w:rPr>
                <w:b/>
              </w:rPr>
            </w:pPr>
            <w:r w:rsidRPr="00537196">
              <w:rPr>
                <w:b/>
              </w:rPr>
              <w:t xml:space="preserve">Kohus </w:t>
            </w:r>
          </w:p>
        </w:tc>
        <w:tc>
          <w:tcPr>
            <w:tcW w:w="6480" w:type="dxa"/>
          </w:tcPr>
          <w:p w:rsidR="00E2140F" w:rsidRPr="00537196" w:rsidRDefault="00E2140F" w:rsidP="00663C97">
            <w:pPr>
              <w:spacing w:before="0" w:after="0"/>
            </w:pPr>
            <w:r w:rsidRPr="00537196">
              <w:t>Harju Maakohus</w:t>
            </w:r>
            <w:r>
              <w:t xml:space="preserve"> </w:t>
            </w:r>
          </w:p>
        </w:tc>
      </w:tr>
      <w:tr w:rsidR="00E2140F" w:rsidRPr="009C0E0B" w:rsidTr="00C27F2C">
        <w:trPr>
          <w:trHeight w:val="323"/>
        </w:trPr>
        <w:tc>
          <w:tcPr>
            <w:tcW w:w="3348" w:type="dxa"/>
          </w:tcPr>
          <w:p w:rsidR="00E2140F" w:rsidRPr="00537196" w:rsidRDefault="00E2140F" w:rsidP="00663C97">
            <w:pPr>
              <w:spacing w:before="0" w:after="0"/>
              <w:rPr>
                <w:b/>
              </w:rPr>
            </w:pPr>
            <w:r w:rsidRPr="00537196">
              <w:rPr>
                <w:b/>
              </w:rPr>
              <w:t>Kohtu</w:t>
            </w:r>
            <w:r>
              <w:rPr>
                <w:b/>
              </w:rPr>
              <w:t>nik</w:t>
            </w:r>
          </w:p>
        </w:tc>
        <w:tc>
          <w:tcPr>
            <w:tcW w:w="6480" w:type="dxa"/>
          </w:tcPr>
          <w:p w:rsidR="00E2140F" w:rsidRPr="00537196" w:rsidRDefault="00E2140F" w:rsidP="00663C97">
            <w:pPr>
              <w:spacing w:before="0" w:after="0"/>
            </w:pPr>
            <w:r>
              <w:t>Peeter Pällin</w:t>
            </w:r>
          </w:p>
        </w:tc>
      </w:tr>
      <w:tr w:rsidR="00913E6C" w:rsidRPr="009C0E0B" w:rsidTr="00C27F2C">
        <w:trPr>
          <w:trHeight w:val="323"/>
        </w:trPr>
        <w:tc>
          <w:tcPr>
            <w:tcW w:w="3348" w:type="dxa"/>
          </w:tcPr>
          <w:p w:rsidR="00913E6C" w:rsidRPr="00537196" w:rsidRDefault="00913E6C" w:rsidP="00663C97">
            <w:pPr>
              <w:spacing w:before="0" w:after="0"/>
              <w:rPr>
                <w:b/>
              </w:rPr>
            </w:pPr>
            <w:r>
              <w:rPr>
                <w:b/>
              </w:rPr>
              <w:t>Kohtujurist</w:t>
            </w:r>
          </w:p>
        </w:tc>
        <w:tc>
          <w:tcPr>
            <w:tcW w:w="6480" w:type="dxa"/>
          </w:tcPr>
          <w:p w:rsidR="00913E6C" w:rsidRDefault="00913E6C" w:rsidP="00663C97">
            <w:pPr>
              <w:spacing w:before="0" w:after="0"/>
            </w:pPr>
            <w:r>
              <w:t>Ingrid Puurvee</w:t>
            </w:r>
          </w:p>
        </w:tc>
      </w:tr>
      <w:tr w:rsidR="00E2140F" w:rsidRPr="009C0E0B" w:rsidTr="00F250F2">
        <w:trPr>
          <w:trHeight w:val="387"/>
        </w:trPr>
        <w:tc>
          <w:tcPr>
            <w:tcW w:w="3348" w:type="dxa"/>
          </w:tcPr>
          <w:p w:rsidR="00E2140F" w:rsidRPr="00537196" w:rsidRDefault="00E2140F" w:rsidP="00663C97">
            <w:pPr>
              <w:spacing w:before="0" w:after="0"/>
              <w:rPr>
                <w:b/>
              </w:rPr>
            </w:pPr>
            <w:r w:rsidRPr="00537196">
              <w:rPr>
                <w:b/>
              </w:rPr>
              <w:t xml:space="preserve">Otsuse tegemise aeg ja koht </w:t>
            </w:r>
          </w:p>
        </w:tc>
        <w:tc>
          <w:tcPr>
            <w:tcW w:w="6480" w:type="dxa"/>
          </w:tcPr>
          <w:p w:rsidR="00E2140F" w:rsidRPr="001E0F7E" w:rsidRDefault="00FA51A0" w:rsidP="00FA51A0">
            <w:pPr>
              <w:spacing w:before="0" w:after="0"/>
            </w:pPr>
            <w:r>
              <w:t>24</w:t>
            </w:r>
            <w:bookmarkStart w:id="0" w:name="_GoBack"/>
            <w:bookmarkEnd w:id="0"/>
            <w:r w:rsidR="001E0F7E" w:rsidRPr="001E0F7E">
              <w:t>.</w:t>
            </w:r>
            <w:r w:rsidR="004C50B8">
              <w:t>10</w:t>
            </w:r>
            <w:r w:rsidR="001E0F7E" w:rsidRPr="001E0F7E">
              <w:t>.2019</w:t>
            </w:r>
            <w:r w:rsidR="00E2140F" w:rsidRPr="001E0F7E">
              <w:t xml:space="preserve">, </w:t>
            </w:r>
            <w:r w:rsidR="0001509C" w:rsidRPr="001E0F7E">
              <w:t>Tallinna kohtumaja</w:t>
            </w:r>
          </w:p>
        </w:tc>
      </w:tr>
      <w:tr w:rsidR="00E2140F" w:rsidRPr="009C0E0B" w:rsidTr="00C27F2C">
        <w:trPr>
          <w:trHeight w:val="245"/>
        </w:trPr>
        <w:tc>
          <w:tcPr>
            <w:tcW w:w="3348" w:type="dxa"/>
          </w:tcPr>
          <w:p w:rsidR="00E2140F" w:rsidRPr="00537196" w:rsidRDefault="00E2140F" w:rsidP="00663C97">
            <w:pPr>
              <w:spacing w:before="0" w:after="0"/>
              <w:rPr>
                <w:b/>
              </w:rPr>
            </w:pPr>
            <w:r w:rsidRPr="00537196">
              <w:rPr>
                <w:b/>
              </w:rPr>
              <w:t>Tsiviilasja number</w:t>
            </w:r>
          </w:p>
        </w:tc>
        <w:tc>
          <w:tcPr>
            <w:tcW w:w="6480" w:type="dxa"/>
          </w:tcPr>
          <w:p w:rsidR="00E2140F" w:rsidRPr="001E0F7E" w:rsidRDefault="00663C97" w:rsidP="00663C97">
            <w:pPr>
              <w:spacing w:before="0" w:after="0"/>
            </w:pPr>
            <w:r w:rsidRPr="001E0F7E">
              <w:t>2</w:t>
            </w:r>
            <w:r w:rsidR="001E0F7E" w:rsidRPr="001E0F7E">
              <w:t>-1</w:t>
            </w:r>
            <w:r w:rsidR="005B31BC">
              <w:t>9</w:t>
            </w:r>
            <w:r w:rsidR="001E0F7E" w:rsidRPr="001E0F7E">
              <w:t>-</w:t>
            </w:r>
            <w:r w:rsidR="005B31BC">
              <w:t>11849</w:t>
            </w:r>
          </w:p>
        </w:tc>
      </w:tr>
      <w:tr w:rsidR="00E2140F" w:rsidRPr="009C0E0B" w:rsidTr="00C27F2C">
        <w:trPr>
          <w:trHeight w:val="573"/>
        </w:trPr>
        <w:tc>
          <w:tcPr>
            <w:tcW w:w="3348" w:type="dxa"/>
          </w:tcPr>
          <w:p w:rsidR="00E2140F" w:rsidRPr="00537196" w:rsidRDefault="00E2140F" w:rsidP="00663C97">
            <w:pPr>
              <w:spacing w:before="0" w:after="0"/>
              <w:rPr>
                <w:b/>
              </w:rPr>
            </w:pPr>
            <w:r w:rsidRPr="00537196">
              <w:rPr>
                <w:b/>
              </w:rPr>
              <w:t>Tsiviilasi</w:t>
            </w:r>
          </w:p>
        </w:tc>
        <w:tc>
          <w:tcPr>
            <w:tcW w:w="6480" w:type="dxa"/>
          </w:tcPr>
          <w:sdt>
            <w:sdtPr>
              <w:rPr>
                <w:b/>
                <w:highlight w:val="yellow"/>
              </w:rPr>
              <w:alias w:val="KohtuasjaPealkiri"/>
              <w:tag w:val="KohtuasjaPealkiri"/>
              <w:id w:val="-1107414936"/>
              <w:text/>
            </w:sdtPr>
            <w:sdtEndPr/>
            <w:sdtContent>
              <w:p w:rsidR="00E2140F" w:rsidRPr="005B31BC" w:rsidRDefault="005B31BC" w:rsidP="005B31BC">
                <w:pPr>
                  <w:spacing w:after="0"/>
                  <w:rPr>
                    <w:b/>
                    <w:highlight w:val="yellow"/>
                  </w:rPr>
                </w:pPr>
                <w:r w:rsidRPr="005B31BC">
                  <w:rPr>
                    <w:b/>
                  </w:rPr>
                  <w:t>Osaühingu KENTEX FINANCE EESTI hagi OÜ Rahalaev (pankrotis) vastu OÜ Rahalaev (pankrotis) võlausaldajate 08.07.19 üldkoosoleku otsuste kehtetuks tunnistamiseks</w:t>
                </w:r>
              </w:p>
            </w:sdtContent>
          </w:sdt>
        </w:tc>
      </w:tr>
      <w:tr w:rsidR="00E2140F" w:rsidRPr="009C0E0B" w:rsidTr="00C27F2C">
        <w:tc>
          <w:tcPr>
            <w:tcW w:w="3348" w:type="dxa"/>
          </w:tcPr>
          <w:p w:rsidR="001D78B4" w:rsidRDefault="001D78B4" w:rsidP="00663C97">
            <w:pPr>
              <w:spacing w:before="0" w:after="0"/>
              <w:rPr>
                <w:b/>
              </w:rPr>
            </w:pPr>
          </w:p>
          <w:p w:rsidR="00E2140F" w:rsidRPr="00537196" w:rsidRDefault="00E2140F" w:rsidP="00663C97">
            <w:pPr>
              <w:spacing w:before="0" w:after="0"/>
              <w:rPr>
                <w:b/>
              </w:rPr>
            </w:pPr>
            <w:r>
              <w:rPr>
                <w:b/>
              </w:rPr>
              <w:t>Tsiviilasja hind</w:t>
            </w:r>
          </w:p>
        </w:tc>
        <w:tc>
          <w:tcPr>
            <w:tcW w:w="6480" w:type="dxa"/>
          </w:tcPr>
          <w:p w:rsidR="001D78B4" w:rsidRDefault="001D78B4" w:rsidP="00663C97">
            <w:pPr>
              <w:spacing w:before="0" w:after="0"/>
            </w:pPr>
          </w:p>
          <w:p w:rsidR="00E2140F" w:rsidRPr="00133CB6" w:rsidRDefault="004C50B8" w:rsidP="00663C97">
            <w:pPr>
              <w:spacing w:before="0" w:after="0"/>
            </w:pPr>
            <w:r>
              <w:t>1</w:t>
            </w:r>
            <w:r w:rsidR="005B31BC">
              <w:t>0</w:t>
            </w:r>
            <w:r>
              <w:t xml:space="preserve"> </w:t>
            </w:r>
            <w:r w:rsidR="005B31BC">
              <w:t>5</w:t>
            </w:r>
            <w:r>
              <w:t>00</w:t>
            </w:r>
            <w:r w:rsidR="00663C97" w:rsidRPr="003F2A34">
              <w:t xml:space="preserve"> </w:t>
            </w:r>
            <w:r w:rsidR="00E2140F" w:rsidRPr="003F2A34">
              <w:t>eurot</w:t>
            </w:r>
          </w:p>
        </w:tc>
      </w:tr>
      <w:tr w:rsidR="00E2140F" w:rsidRPr="009C0E0B" w:rsidTr="00C27F2C">
        <w:tc>
          <w:tcPr>
            <w:tcW w:w="3348" w:type="dxa"/>
          </w:tcPr>
          <w:p w:rsidR="00E2140F" w:rsidRPr="00537196" w:rsidRDefault="00E2140F" w:rsidP="00663C97">
            <w:pPr>
              <w:spacing w:before="0" w:after="0"/>
              <w:rPr>
                <w:b/>
              </w:rPr>
            </w:pPr>
            <w:r w:rsidRPr="00537196">
              <w:rPr>
                <w:b/>
              </w:rPr>
              <w:t>Menetlusosalised ja esindajad</w:t>
            </w:r>
          </w:p>
        </w:tc>
        <w:tc>
          <w:tcPr>
            <w:tcW w:w="6480" w:type="dxa"/>
          </w:tcPr>
          <w:sdt>
            <w:sdtPr>
              <w:alias w:val="MenetlusosalineJaTemaEsindaja$$hageja"/>
              <w:tag w:val="MenetlusosalineJaTemaEsindaja$$hageja"/>
              <w:id w:val="203528065"/>
              <w:text/>
            </w:sdtPr>
            <w:sdtEndPr/>
            <w:sdtContent>
              <w:p w:rsidR="005B31BC" w:rsidRDefault="005B31BC" w:rsidP="005B31BC">
                <w:r w:rsidRPr="005B31BC">
                  <w:t>Hageja: Osaühing KENTEX FINANCE EESTI (registrikood 11764025, Registrijärgne aadress: Pärnu mnt 139a, 11317, Tallinn, Harju maakond), Seaduslik esindaja: Reet Raidur (isikukood 47309132735, E-post: reetraidur@icloud.com)</w:t>
                </w:r>
                <w:r w:rsidR="005F4883">
                  <w:t>;</w:t>
                </w:r>
              </w:p>
            </w:sdtContent>
          </w:sdt>
          <w:sdt>
            <w:sdtPr>
              <w:alias w:val="MenetlusosalineJaTemaEsindaja$$kostja"/>
              <w:tag w:val="MenetlusosalineJaTemaEsindaja$$kostja"/>
              <w:id w:val="1616335825"/>
              <w:text/>
            </w:sdtPr>
            <w:sdtEndPr/>
            <w:sdtContent>
              <w:p w:rsidR="005B31BC" w:rsidRDefault="005B31BC" w:rsidP="005B31BC">
                <w:r w:rsidRPr="005B31BC">
                  <w:t>Kostja: OÜ Rahalaev (pankrotis) (registrikood 11514305, Registrijärgne aadress: Tartu mnt 2, 10145, Tallinn, Harju maakond).</w:t>
                </w:r>
              </w:p>
            </w:sdtContent>
          </w:sdt>
          <w:p w:rsidR="00E2140F" w:rsidRPr="00B80CBD" w:rsidRDefault="005B31BC" w:rsidP="005B31BC">
            <w:r w:rsidRPr="00B80CBD">
              <w:t xml:space="preserve"> </w:t>
            </w:r>
          </w:p>
        </w:tc>
      </w:tr>
      <w:tr w:rsidR="00E2140F" w:rsidRPr="009C0E0B" w:rsidTr="00C27F2C">
        <w:tc>
          <w:tcPr>
            <w:tcW w:w="9828" w:type="dxa"/>
            <w:gridSpan w:val="2"/>
          </w:tcPr>
          <w:p w:rsidR="00C57514" w:rsidRDefault="00C57514" w:rsidP="00C27F2C">
            <w:pPr>
              <w:spacing w:before="60" w:after="60"/>
              <w:rPr>
                <w:b/>
              </w:rPr>
            </w:pPr>
          </w:p>
          <w:p w:rsidR="00E2140F" w:rsidRPr="00537196" w:rsidRDefault="00E2140F" w:rsidP="00C27F2C">
            <w:pPr>
              <w:spacing w:before="60" w:after="60"/>
            </w:pPr>
            <w:r w:rsidRPr="00537196">
              <w:rPr>
                <w:b/>
              </w:rPr>
              <w:t>RESOLUTSIOON</w:t>
            </w:r>
          </w:p>
        </w:tc>
      </w:tr>
      <w:tr w:rsidR="00E2140F" w:rsidRPr="009C0E0B" w:rsidTr="00C27F2C">
        <w:tc>
          <w:tcPr>
            <w:tcW w:w="9828" w:type="dxa"/>
            <w:gridSpan w:val="2"/>
          </w:tcPr>
          <w:p w:rsidR="005F4883" w:rsidRDefault="00E2140F" w:rsidP="005F4883">
            <w:pPr>
              <w:numPr>
                <w:ilvl w:val="0"/>
                <w:numId w:val="5"/>
              </w:numPr>
              <w:rPr>
                <w:b/>
              </w:rPr>
            </w:pPr>
            <w:r w:rsidRPr="006C38D9">
              <w:rPr>
                <w:b/>
              </w:rPr>
              <w:t xml:space="preserve">Rahuldada hagi </w:t>
            </w:r>
            <w:proofErr w:type="spellStart"/>
            <w:r w:rsidRPr="006C38D9">
              <w:rPr>
                <w:b/>
              </w:rPr>
              <w:t>tagaseljaotsusega</w:t>
            </w:r>
            <w:proofErr w:type="spellEnd"/>
            <w:r w:rsidRPr="006C38D9">
              <w:rPr>
                <w:b/>
              </w:rPr>
              <w:t>.</w:t>
            </w:r>
          </w:p>
          <w:p w:rsidR="005F4883" w:rsidRDefault="005F4883" w:rsidP="005F4883">
            <w:pPr>
              <w:numPr>
                <w:ilvl w:val="0"/>
                <w:numId w:val="5"/>
              </w:numPr>
              <w:rPr>
                <w:b/>
              </w:rPr>
            </w:pPr>
            <w:r w:rsidRPr="005F4883">
              <w:rPr>
                <w:rFonts w:ascii="TimesNewRomanPS-BoldMT" w:hAnsi="TimesNewRomanPS-BoldMT" w:cs="TimesNewRomanPS-BoldMT"/>
                <w:b/>
                <w:bCs/>
              </w:rPr>
              <w:t>Tunnistada kehtetuks OÜ Rahalaev (pankrotis) 08.07.2019 toimunud</w:t>
            </w:r>
            <w:r>
              <w:rPr>
                <w:b/>
              </w:rPr>
              <w:t xml:space="preserve"> </w:t>
            </w:r>
            <w:r w:rsidRPr="005F4883">
              <w:rPr>
                <w:rFonts w:ascii="TimesNewRomanPS-BoldMT" w:hAnsi="TimesNewRomanPS-BoldMT" w:cs="TimesNewRomanPS-BoldMT"/>
                <w:b/>
                <w:bCs/>
              </w:rPr>
              <w:t>võlausaldajate üldkoosoleku otsus nr. 1 – toimik on tutvustatud</w:t>
            </w:r>
            <w:r w:rsidR="00E547A4" w:rsidRPr="005F4883">
              <w:rPr>
                <w:b/>
              </w:rPr>
              <w:t>.</w:t>
            </w:r>
            <w:r w:rsidR="00E2140F" w:rsidRPr="005F4883">
              <w:rPr>
                <w:b/>
                <w:noProof/>
              </w:rPr>
              <w:t xml:space="preserve"> </w:t>
            </w:r>
          </w:p>
          <w:p w:rsidR="005F4883" w:rsidRDefault="005F4883" w:rsidP="005F4883">
            <w:pPr>
              <w:numPr>
                <w:ilvl w:val="0"/>
                <w:numId w:val="5"/>
              </w:numPr>
              <w:rPr>
                <w:b/>
              </w:rPr>
            </w:pPr>
            <w:r w:rsidRPr="005F4883">
              <w:rPr>
                <w:rFonts w:ascii="TimesNewRomanPS-BoldMT" w:hAnsi="TimesNewRomanPS-BoldMT" w:cs="TimesNewRomanPS-BoldMT"/>
                <w:b/>
                <w:bCs/>
              </w:rPr>
              <w:t>Tunnistada kehtetuks võlausaldajate üldkoosoleku otsus - vara müük enampakkumisel alghinnaga 100 eurot.</w:t>
            </w:r>
          </w:p>
          <w:p w:rsidR="00E2140F" w:rsidRPr="005F4883" w:rsidRDefault="00E2140F" w:rsidP="005F4883">
            <w:pPr>
              <w:numPr>
                <w:ilvl w:val="0"/>
                <w:numId w:val="5"/>
              </w:numPr>
              <w:rPr>
                <w:b/>
              </w:rPr>
            </w:pPr>
            <w:proofErr w:type="spellStart"/>
            <w:r w:rsidRPr="005F4883">
              <w:rPr>
                <w:b/>
              </w:rPr>
              <w:t>Tagaseljaotsus</w:t>
            </w:r>
            <w:proofErr w:type="spellEnd"/>
            <w:r w:rsidRPr="005F4883">
              <w:rPr>
                <w:b/>
              </w:rPr>
              <w:t xml:space="preserve"> kuulub tagatiseta viivitamata täitmisele.</w:t>
            </w:r>
          </w:p>
        </w:tc>
      </w:tr>
      <w:tr w:rsidR="00E2140F" w:rsidRPr="009C0E0B" w:rsidTr="00C27F2C">
        <w:tc>
          <w:tcPr>
            <w:tcW w:w="9828" w:type="dxa"/>
            <w:gridSpan w:val="2"/>
          </w:tcPr>
          <w:p w:rsidR="00C57514" w:rsidRDefault="00C57514" w:rsidP="00C27F2C">
            <w:pPr>
              <w:autoSpaceDE w:val="0"/>
              <w:autoSpaceDN w:val="0"/>
              <w:adjustRightInd w:val="0"/>
              <w:spacing w:before="60" w:after="60"/>
              <w:rPr>
                <w:b/>
              </w:rPr>
            </w:pPr>
          </w:p>
          <w:p w:rsidR="00E2140F" w:rsidRPr="009957B9" w:rsidRDefault="00E2140F" w:rsidP="00C27F2C">
            <w:pPr>
              <w:autoSpaceDE w:val="0"/>
              <w:autoSpaceDN w:val="0"/>
              <w:adjustRightInd w:val="0"/>
              <w:spacing w:before="60" w:after="60"/>
              <w:rPr>
                <w:b/>
              </w:rPr>
            </w:pPr>
            <w:r>
              <w:rPr>
                <w:b/>
              </w:rPr>
              <w:t xml:space="preserve">Menetluskulude jaotus </w:t>
            </w:r>
          </w:p>
        </w:tc>
      </w:tr>
      <w:tr w:rsidR="00E2140F" w:rsidRPr="009C0E0B" w:rsidTr="00C27F2C">
        <w:trPr>
          <w:trHeight w:val="426"/>
        </w:trPr>
        <w:tc>
          <w:tcPr>
            <w:tcW w:w="9828" w:type="dxa"/>
            <w:gridSpan w:val="2"/>
          </w:tcPr>
          <w:p w:rsidR="005766BC" w:rsidRPr="00BF218D" w:rsidRDefault="005766BC" w:rsidP="00894FFF">
            <w:pPr>
              <w:numPr>
                <w:ilvl w:val="0"/>
                <w:numId w:val="2"/>
              </w:numPr>
              <w:autoSpaceDE w:val="0"/>
              <w:autoSpaceDN w:val="0"/>
              <w:adjustRightInd w:val="0"/>
              <w:spacing w:before="60" w:after="60"/>
              <w:rPr>
                <w:b/>
              </w:rPr>
            </w:pPr>
            <w:r w:rsidRPr="00BF218D">
              <w:rPr>
                <w:b/>
              </w:rPr>
              <w:t>Jätta menetluskulud kostja kanda.</w:t>
            </w:r>
          </w:p>
          <w:p w:rsidR="00670CBB" w:rsidRPr="0004111B" w:rsidRDefault="00894FFF" w:rsidP="00663C97">
            <w:pPr>
              <w:numPr>
                <w:ilvl w:val="0"/>
                <w:numId w:val="2"/>
              </w:numPr>
              <w:autoSpaceDE w:val="0"/>
              <w:autoSpaceDN w:val="0"/>
              <w:adjustRightInd w:val="0"/>
              <w:spacing w:before="60" w:after="60"/>
              <w:rPr>
                <w:b/>
              </w:rPr>
            </w:pPr>
            <w:r w:rsidRPr="0004111B">
              <w:rPr>
                <w:b/>
              </w:rPr>
              <w:t xml:space="preserve">Välja mõista </w:t>
            </w:r>
            <w:r w:rsidR="00DE7750" w:rsidRPr="0004111B">
              <w:rPr>
                <w:b/>
                <w:noProof/>
              </w:rPr>
              <w:t xml:space="preserve">kostjalt </w:t>
            </w:r>
            <w:r w:rsidR="00D7497D" w:rsidRPr="0004111B">
              <w:rPr>
                <w:b/>
              </w:rPr>
              <w:t>OÜ Rahalaev (pankrotis) (registrikood 11514305</w:t>
            </w:r>
            <w:r w:rsidR="0004111B" w:rsidRPr="0004111B">
              <w:rPr>
                <w:b/>
              </w:rPr>
              <w:t>)</w:t>
            </w:r>
            <w:r w:rsidR="00BF218D" w:rsidRPr="0004111B">
              <w:rPr>
                <w:b/>
                <w:bCs/>
              </w:rPr>
              <w:t xml:space="preserve">, </w:t>
            </w:r>
            <w:r w:rsidR="00034284" w:rsidRPr="0004111B">
              <w:rPr>
                <w:b/>
              </w:rPr>
              <w:t xml:space="preserve">hageja </w:t>
            </w:r>
            <w:r w:rsidR="0004111B" w:rsidRPr="0004111B">
              <w:rPr>
                <w:b/>
              </w:rPr>
              <w:t>Osaühing KENTEX FINANCE EESTI (registrikood 11764025)</w:t>
            </w:r>
            <w:r w:rsidR="00BF218D" w:rsidRPr="0004111B">
              <w:rPr>
                <w:b/>
              </w:rPr>
              <w:t xml:space="preserve">, </w:t>
            </w:r>
            <w:r w:rsidRPr="0004111B">
              <w:rPr>
                <w:b/>
              </w:rPr>
              <w:t xml:space="preserve">kasuks menetluskuludena </w:t>
            </w:r>
            <w:r w:rsidR="0004111B" w:rsidRPr="0004111B">
              <w:rPr>
                <w:b/>
              </w:rPr>
              <w:t>300</w:t>
            </w:r>
            <w:r w:rsidR="00663C97" w:rsidRPr="0004111B">
              <w:rPr>
                <w:b/>
              </w:rPr>
              <w:t xml:space="preserve"> </w:t>
            </w:r>
            <w:r w:rsidRPr="0004111B">
              <w:rPr>
                <w:b/>
              </w:rPr>
              <w:t>eurot</w:t>
            </w:r>
            <w:r w:rsidR="00BF218D" w:rsidRPr="0004111B">
              <w:rPr>
                <w:b/>
              </w:rPr>
              <w:t xml:space="preserve"> (riigilõiv)</w:t>
            </w:r>
            <w:r w:rsidRPr="0004111B">
              <w:rPr>
                <w:b/>
              </w:rPr>
              <w:t>.</w:t>
            </w:r>
          </w:p>
          <w:p w:rsidR="00071E51" w:rsidRPr="00010E84" w:rsidRDefault="00071E51" w:rsidP="00633E80">
            <w:pPr>
              <w:numPr>
                <w:ilvl w:val="0"/>
                <w:numId w:val="2"/>
              </w:numPr>
              <w:autoSpaceDE w:val="0"/>
              <w:autoSpaceDN w:val="0"/>
              <w:adjustRightInd w:val="0"/>
              <w:spacing w:before="60" w:after="60"/>
              <w:rPr>
                <w:b/>
              </w:rPr>
            </w:pPr>
            <w:r w:rsidRPr="00010E84">
              <w:rPr>
                <w:b/>
              </w:rPr>
              <w:lastRenderedPageBreak/>
              <w:t xml:space="preserve">Välja mõista </w:t>
            </w:r>
            <w:r w:rsidRPr="00010E84">
              <w:rPr>
                <w:b/>
                <w:noProof/>
              </w:rPr>
              <w:t xml:space="preserve">kostjalt </w:t>
            </w:r>
            <w:r w:rsidR="00034284" w:rsidRPr="00010E84">
              <w:rPr>
                <w:b/>
              </w:rPr>
              <w:t xml:space="preserve">hageja </w:t>
            </w:r>
            <w:r w:rsidRPr="00010E84">
              <w:rPr>
                <w:b/>
                <w:bCs/>
                <w:color w:val="000000"/>
              </w:rPr>
              <w:t xml:space="preserve">kasuks </w:t>
            </w:r>
            <w:r w:rsidRPr="00010E84">
              <w:rPr>
                <w:b/>
              </w:rPr>
              <w:t xml:space="preserve">väljamõistetud menetluskuludelt menetluskulude suurust kindlakstegeva lahendi jõustumisest alates kuni täitmiseni viivist </w:t>
            </w:r>
            <w:r w:rsidRPr="00010E84">
              <w:rPr>
                <w:b/>
                <w:color w:val="000000"/>
              </w:rPr>
              <w:t>VÕS § 113 lõike 1 teises lauses ettenähtud ulatuses tasumata summalt</w:t>
            </w:r>
            <w:r w:rsidR="00010E84" w:rsidRPr="00010E84">
              <w:rPr>
                <w:b/>
                <w:color w:val="000000"/>
              </w:rPr>
              <w:t>.</w:t>
            </w:r>
          </w:p>
        </w:tc>
      </w:tr>
    </w:tbl>
    <w:p w:rsidR="002E50DB" w:rsidRPr="002E50DB" w:rsidRDefault="002E50DB" w:rsidP="002E50DB">
      <w:pPr>
        <w:autoSpaceDE w:val="0"/>
        <w:autoSpaceDN w:val="0"/>
        <w:adjustRightInd w:val="0"/>
        <w:rPr>
          <w:b/>
        </w:rPr>
      </w:pPr>
      <w:r w:rsidRPr="002E50DB">
        <w:rPr>
          <w:b/>
        </w:rPr>
        <w:lastRenderedPageBreak/>
        <w:t>Edasikaebamise kord</w:t>
      </w:r>
    </w:p>
    <w:p w:rsidR="002E50DB" w:rsidRDefault="002E50DB" w:rsidP="002E50DB">
      <w:r w:rsidRPr="002E50DB">
        <w:t xml:space="preserve">Hagejal on õigus esitada </w:t>
      </w:r>
      <w:proofErr w:type="spellStart"/>
      <w:r w:rsidRPr="002E50DB">
        <w:t>tagaseljaotsuse</w:t>
      </w:r>
      <w:proofErr w:type="spellEnd"/>
      <w:r w:rsidRPr="002E50DB">
        <w:t xml:space="preserve"> peale apellatsioonkaebus Tallinna Ringkonnakohtule 30 päeva jooksul alates otsuse kättetoimetamisest, kuid mitte hiljem kui viie kuu möödumisel esimese astme kohtu otsuse avalikult teatavakstegemisest. Kaebus võidakse lahendada kirjalikus menetluses, kui kaebuses ei taotleta selle lahendamist istungil.</w:t>
      </w:r>
    </w:p>
    <w:p w:rsidR="002E50DB" w:rsidRDefault="002E50DB" w:rsidP="002C7E6A">
      <w:r w:rsidRPr="002E50DB">
        <w:t xml:space="preserve">Kostja võib esitada Harju Maakohtule </w:t>
      </w:r>
      <w:proofErr w:type="spellStart"/>
      <w:r w:rsidRPr="002E50DB">
        <w:t>tagaseljaotsuse</w:t>
      </w:r>
      <w:proofErr w:type="spellEnd"/>
      <w:r w:rsidRPr="002E50DB">
        <w:t xml:space="preserve"> peale kaja, kui tema tegevusetus, mis oli </w:t>
      </w:r>
      <w:proofErr w:type="spellStart"/>
      <w:r w:rsidRPr="002E50DB">
        <w:t>tagaseljaotsuse</w:t>
      </w:r>
      <w:proofErr w:type="spellEnd"/>
      <w:r w:rsidRPr="002E50DB">
        <w:t xml:space="preserve"> tegemise aluseks, oli tingitud mõjuvast põhjusest. Kaja võib esitada sõltumata mõjuva põhjuse olemasolust, kui  hagile vastamata jätmise puhul oli hagi kostjale või tema esindajale kätte toimetatud muul viisil kui isiklikult allkirja vastu üleandmisega või elektrooniliselt või kui </w:t>
      </w:r>
      <w:proofErr w:type="spellStart"/>
      <w:r w:rsidRPr="002E50DB">
        <w:t>tagaseljaotsust</w:t>
      </w:r>
      <w:proofErr w:type="spellEnd"/>
      <w:r w:rsidRPr="002E50DB">
        <w:t xml:space="preserve"> ei võinud seaduse kohaselt teha. Kaja võib esitada </w:t>
      </w:r>
      <w:proofErr w:type="spellStart"/>
      <w:r w:rsidRPr="002E50DB">
        <w:t>tagaseljaotsuse</w:t>
      </w:r>
      <w:proofErr w:type="spellEnd"/>
      <w:r w:rsidRPr="002E50DB">
        <w:t xml:space="preserve"> </w:t>
      </w:r>
      <w:proofErr w:type="spellStart"/>
      <w:r w:rsidRPr="002E50DB">
        <w:t>kättetoimetamisest</w:t>
      </w:r>
      <w:proofErr w:type="spellEnd"/>
      <w:r w:rsidRPr="002E50DB">
        <w:t xml:space="preserve"> alates 30 päeva jooksul. Kui tagaseljaotsus toimetatakse kätte avalikult, võib kaja esitada 30 päeva jooksul alates päevast, kui kostja sai </w:t>
      </w:r>
      <w:proofErr w:type="spellStart"/>
      <w:r w:rsidRPr="002E50DB">
        <w:t>tagaseljaotsusest</w:t>
      </w:r>
      <w:proofErr w:type="spellEnd"/>
      <w:r w:rsidRPr="002E50DB">
        <w:t xml:space="preserve"> või selle täitmiseks algatatud täitemenetlusest teada. Koos kajaga tuleb </w:t>
      </w:r>
      <w:r w:rsidRPr="002C7E6A">
        <w:t xml:space="preserve">kohtule esitada kõik asja ettevalmistamise lõpuleviimiseks vajalik ning tasuda kajalt kautsjon Rahandusministeeriumi arvelduskontole nr </w:t>
      </w:r>
      <w:r w:rsidR="00A37953" w:rsidRPr="002C7E6A">
        <w:t>EE571010220229377229</w:t>
      </w:r>
      <w:r w:rsidRPr="002C7E6A">
        <w:t xml:space="preserve"> AS-is SEB Pank või arvelduskontole nr </w:t>
      </w:r>
      <w:r w:rsidR="00A37953" w:rsidRPr="002C7E6A">
        <w:t>EE062200221059223099</w:t>
      </w:r>
      <w:r w:rsidRPr="002C7E6A">
        <w:t xml:space="preserve"> Swedbank AS-is või arvelduskontole nr </w:t>
      </w:r>
      <w:r w:rsidR="00A37953" w:rsidRPr="002C7E6A">
        <w:t>EE221700017003510302</w:t>
      </w:r>
      <w:r w:rsidR="009F586B">
        <w:t xml:space="preserve"> </w:t>
      </w:r>
      <w:proofErr w:type="spellStart"/>
      <w:r w:rsidR="009F586B">
        <w:t>Luminor</w:t>
      </w:r>
      <w:proofErr w:type="spellEnd"/>
      <w:r w:rsidRPr="002C7E6A">
        <w:t xml:space="preserve"> </w:t>
      </w:r>
      <w:proofErr w:type="spellStart"/>
      <w:r w:rsidRPr="002C7E6A">
        <w:t>B</w:t>
      </w:r>
      <w:r w:rsidR="002F40D8">
        <w:t>ank</w:t>
      </w:r>
      <w:proofErr w:type="spellEnd"/>
      <w:r w:rsidR="002F40D8">
        <w:t xml:space="preserve"> AS-is</w:t>
      </w:r>
      <w:r w:rsidRPr="002C7E6A">
        <w:t xml:space="preserve">. </w:t>
      </w:r>
      <w:r w:rsidR="00A37953" w:rsidRPr="002C7E6A">
        <w:t>Isik ei pea kasutama viitenumbrit</w:t>
      </w:r>
      <w:r w:rsidR="002C7E6A" w:rsidRPr="002C7E6A">
        <w:t xml:space="preserve">, kui ta tasub riigilõivu enne toimingu tegemise taotlemist. Maksete tegemisel tuleb märkida selgituse lahtrisse täpne toimingu nimetus, mille eest riigilõivu tasutakse. </w:t>
      </w:r>
      <w:r w:rsidRPr="002C7E6A">
        <w:t>Kautsjonina tasutakse summa, mis vastab riigilõivule poolelt hagihinnalt, kuid mitte vähem kui 100 eurot ja mitte rohkem kui 1500 eurot.</w:t>
      </w:r>
    </w:p>
    <w:p w:rsidR="00E2140F" w:rsidRDefault="002E50DB" w:rsidP="002E50DB">
      <w:r w:rsidRPr="002E50DB">
        <w:t>Kohus selgitab, et vastavalt tsiviilkohtumenetluse seadustiku (</w:t>
      </w:r>
      <w:proofErr w:type="spellStart"/>
      <w:r w:rsidRPr="002E50DB">
        <w:t>TsMS</w:t>
      </w:r>
      <w:proofErr w:type="spellEnd"/>
      <w:r w:rsidRPr="002E50DB">
        <w:t xml:space="preserve">) § 187 </w:t>
      </w:r>
      <w:proofErr w:type="spellStart"/>
      <w:r w:rsidRPr="002E50DB">
        <w:t>lg-le</w:t>
      </w:r>
      <w:proofErr w:type="spellEnd"/>
      <w:r w:rsidRPr="002E50DB">
        <w:t xml:space="preserve"> 6 peab  menetlusabi taotlemise korral menetlusabi taotleja seaduses sätestatud tähtaja järgimiseks tegema tähtaja kestel ka menetlustoimingu, mille tegemiseks ta menetlusabi taotleb, eelkõige esitama kaebuse. Kaebuse põhjendamiseks või riigilõivu tasumiseks või kaebuses esineva sellise puuduse kõrvaldamiseks, mis on seotud menetlusabi taotlemisega, annab kohus sellisel juhul mõistliku tähtaja pärast menetlusabi andmise taotluse lahendamist, kui nimetatud taotlus ei olnud esitatud põhjendamatult või tähtaja pikendamise eesmärgil. See ei välista menetlustähtaja ennistamist.</w:t>
      </w:r>
    </w:p>
    <w:p w:rsidR="00794C42" w:rsidRDefault="00794C42" w:rsidP="002E50DB"/>
    <w:p w:rsidR="00794C42" w:rsidRPr="00794C42" w:rsidRDefault="00794C42" w:rsidP="00794C42">
      <w:pPr>
        <w:rPr>
          <w:b/>
        </w:rPr>
      </w:pPr>
      <w:r w:rsidRPr="00794C42">
        <w:rPr>
          <w:b/>
        </w:rPr>
        <w:t>Hagi alus</w:t>
      </w:r>
    </w:p>
    <w:sdt>
      <w:sdtPr>
        <w:rPr>
          <w:highlight w:val="yellow"/>
        </w:rPr>
        <w:alias w:val="KohtuasjaPealkiri"/>
        <w:tag w:val="KohtuasjaPealkiri"/>
        <w:id w:val="435186524"/>
        <w:text/>
      </w:sdtPr>
      <w:sdtEndPr/>
      <w:sdtContent>
        <w:p w:rsidR="00D95452" w:rsidRPr="00D005AE" w:rsidRDefault="00D95452" w:rsidP="00D95452">
          <w:pPr>
            <w:spacing w:after="0"/>
            <w:rPr>
              <w:highlight w:val="yellow"/>
            </w:rPr>
          </w:pPr>
          <w:r w:rsidRPr="00D005AE">
            <w:t xml:space="preserve">Osaühingu KENTEX FINANCE EESTI </w:t>
          </w:r>
          <w:r w:rsidR="00A831B8">
            <w:t>nõue</w:t>
          </w:r>
          <w:r w:rsidRPr="00D005AE">
            <w:t xml:space="preserve"> OÜ Rahalaev (pankrotis) vastu OÜ Rahalaev (pankrotis) võlausaldajate 08.07.19 üldkoosoleku otsuste kehtetuks tunnistamiseks</w:t>
          </w:r>
          <w:r w:rsidR="00D005AE">
            <w:t>.</w:t>
          </w:r>
        </w:p>
      </w:sdtContent>
    </w:sdt>
    <w:p w:rsidR="00841884" w:rsidRPr="00841884" w:rsidRDefault="00841884" w:rsidP="00794C42"/>
    <w:p w:rsidR="005766BC" w:rsidRDefault="005766BC" w:rsidP="00E4509F">
      <w:pPr>
        <w:autoSpaceDE w:val="0"/>
        <w:autoSpaceDN w:val="0"/>
        <w:adjustRightInd w:val="0"/>
        <w:rPr>
          <w:b/>
        </w:rPr>
      </w:pPr>
      <w:r w:rsidRPr="005766BC">
        <w:rPr>
          <w:b/>
        </w:rPr>
        <w:t xml:space="preserve">Kohtu </w:t>
      </w:r>
      <w:r w:rsidR="006C38D9">
        <w:rPr>
          <w:b/>
        </w:rPr>
        <w:t>s</w:t>
      </w:r>
      <w:r w:rsidRPr="005766BC">
        <w:rPr>
          <w:b/>
        </w:rPr>
        <w:t>elgitused</w:t>
      </w:r>
    </w:p>
    <w:p w:rsidR="00E66DEE" w:rsidRDefault="002E50DB" w:rsidP="002E50DB">
      <w:pPr>
        <w:autoSpaceDE w:val="0"/>
        <w:autoSpaceDN w:val="0"/>
        <w:adjustRightInd w:val="0"/>
      </w:pPr>
      <w:r w:rsidRPr="002C7E6A">
        <w:t xml:space="preserve">Kohus selgitab, et tulenevalt </w:t>
      </w:r>
      <w:proofErr w:type="spellStart"/>
      <w:r w:rsidRPr="002C7E6A">
        <w:t>TsMS</w:t>
      </w:r>
      <w:proofErr w:type="spellEnd"/>
      <w:r w:rsidRPr="002C7E6A">
        <w:t xml:space="preserve"> § 444 </w:t>
      </w:r>
      <w:proofErr w:type="spellStart"/>
      <w:r w:rsidRPr="002C7E6A">
        <w:t>lg-st</w:t>
      </w:r>
      <w:proofErr w:type="spellEnd"/>
      <w:r w:rsidRPr="002C7E6A">
        <w:t xml:space="preserve"> 3 võib kohus </w:t>
      </w:r>
      <w:proofErr w:type="spellStart"/>
      <w:r w:rsidRPr="002C7E6A">
        <w:t>tagaseljaotsuse</w:t>
      </w:r>
      <w:proofErr w:type="spellEnd"/>
      <w:r w:rsidRPr="002C7E6A">
        <w:t xml:space="preserve"> teha kirjeldava ja põhjendava osata.</w:t>
      </w:r>
    </w:p>
    <w:p w:rsidR="002E50DB" w:rsidRPr="0079439C" w:rsidRDefault="002E50DB" w:rsidP="0079439C">
      <w:pPr>
        <w:widowControl w:val="0"/>
        <w:suppressAutoHyphens/>
        <w:spacing w:before="0" w:after="0"/>
      </w:pPr>
      <w:r w:rsidRPr="002C7E6A">
        <w:t xml:space="preserve">Juhindudes </w:t>
      </w:r>
      <w:proofErr w:type="spellStart"/>
      <w:r w:rsidRPr="002C7E6A">
        <w:t>TsMS</w:t>
      </w:r>
      <w:proofErr w:type="spellEnd"/>
      <w:r w:rsidRPr="002C7E6A">
        <w:t xml:space="preserve"> § 174 </w:t>
      </w:r>
      <w:proofErr w:type="spellStart"/>
      <w:r w:rsidRPr="002C7E6A">
        <w:t>lg-st</w:t>
      </w:r>
      <w:proofErr w:type="spellEnd"/>
      <w:r w:rsidRPr="002C7E6A">
        <w:t xml:space="preserve"> </w:t>
      </w:r>
      <w:r w:rsidR="00C26B0B">
        <w:t>2</w:t>
      </w:r>
      <w:r w:rsidRPr="002C7E6A">
        <w:t xml:space="preserve"> määrab </w:t>
      </w:r>
      <w:r w:rsidR="00CA530D">
        <w:t xml:space="preserve">maakohus menetluskulude rahalise suuruse kindlaks kohtuotsuses või menetlust lõpetavas määruses, kui menetluskulude kindlaksmääramine ei takista kohtuotsuse või </w:t>
      </w:r>
      <w:r w:rsidR="00CA530D" w:rsidRPr="009F2CB0">
        <w:t>menetlust lõpetava määruse tegemist.</w:t>
      </w:r>
      <w:r w:rsidRPr="009F2CB0">
        <w:t xml:space="preserve"> </w:t>
      </w:r>
    </w:p>
    <w:p w:rsidR="00C93C1C" w:rsidRPr="00AA51D3" w:rsidRDefault="002E50DB" w:rsidP="00C93C1C">
      <w:pPr>
        <w:tabs>
          <w:tab w:val="left" w:pos="4860"/>
        </w:tabs>
        <w:ind w:right="-110"/>
      </w:pPr>
      <w:proofErr w:type="spellStart"/>
      <w:r w:rsidRPr="0079439C">
        <w:t>TsMS</w:t>
      </w:r>
      <w:proofErr w:type="spellEnd"/>
      <w:r w:rsidRPr="0079439C">
        <w:t xml:space="preserve"> § 175 </w:t>
      </w:r>
      <w:proofErr w:type="spellStart"/>
      <w:r w:rsidRPr="0079439C">
        <w:t>lg-s</w:t>
      </w:r>
      <w:proofErr w:type="spellEnd"/>
      <w:r w:rsidRPr="0079439C">
        <w:t xml:space="preserve"> 1 on sätestatud, et </w:t>
      </w:r>
      <w:r w:rsidR="00CA530D" w:rsidRPr="0079439C">
        <w:t>kui menetlusosaline peab menetluskulude jaotust kindlaksmäärava kohtulahendi kohaselt kandma teist menetlusosalist esindanud lepingulise esindaja kulud, mõistab kohus kulud välja põhjendatud ja vajalikus ulatuses</w:t>
      </w:r>
      <w:r w:rsidRPr="002C7E6A">
        <w:t xml:space="preserve">. </w:t>
      </w:r>
      <w:r w:rsidR="00C93C1C" w:rsidRPr="00AA51D3">
        <w:t>Kohus määrab menetluskulude rahalise suuruse kindlaks ka siis, kui menetlusosalised ei esita menetluskulude kindlaksmääramise taotlust, võttes aluseks menetluskulude nimekirja või tsiviilasja materjalid.</w:t>
      </w:r>
    </w:p>
    <w:p w:rsidR="00C93C1C" w:rsidRPr="002C7E6A" w:rsidRDefault="00C93C1C" w:rsidP="002E50DB">
      <w:pPr>
        <w:autoSpaceDE w:val="0"/>
        <w:autoSpaceDN w:val="0"/>
        <w:adjustRightInd w:val="0"/>
      </w:pPr>
      <w:r>
        <w:lastRenderedPageBreak/>
        <w:t xml:space="preserve">Hageja ei ole esitanud menetluskulude nimekirja, kuid asjas esitatud materjalidest nähtub, et menetluskuluks on riigilõiv summas 600 eurot. Kuna kohus rahuldab hagi osaliselt, siis mõistab kohus kostjalt hageja kasuks välja menetluskuludena 300 eurot.  </w:t>
      </w:r>
    </w:p>
    <w:p w:rsidR="002E50DB" w:rsidRDefault="002E50DB" w:rsidP="002E50DB">
      <w:pPr>
        <w:autoSpaceDE w:val="0"/>
        <w:autoSpaceDN w:val="0"/>
        <w:adjustRightInd w:val="0"/>
      </w:pPr>
      <w:proofErr w:type="spellStart"/>
      <w:r w:rsidRPr="002C7E6A">
        <w:t>TsMS</w:t>
      </w:r>
      <w:proofErr w:type="spellEnd"/>
      <w:r w:rsidRPr="002C7E6A">
        <w:t xml:space="preserve"> § 178 </w:t>
      </w:r>
      <w:proofErr w:type="spellStart"/>
      <w:r w:rsidRPr="002C7E6A">
        <w:t>lg-st</w:t>
      </w:r>
      <w:proofErr w:type="spellEnd"/>
      <w:r w:rsidRPr="002C7E6A">
        <w:t xml:space="preserve"> 1 tulenevalt </w:t>
      </w:r>
      <w:r w:rsidR="00CA530D">
        <w:t>saab menetluskulude jaotust vaidlustada üksnes selle kohtulahendi peale edasi kaevates, millega menetluskulude jaotus kindlaks määrati. Hüvitatavate menetluskulude suurust saab vaidlustada selle kohtulahendi peale edasi kaevates, millega menetluskulude rahaline suurus kindlaks määrati.</w:t>
      </w:r>
    </w:p>
    <w:p w:rsidR="00E2140F" w:rsidRDefault="00E2140F" w:rsidP="00AA38B6">
      <w:pPr>
        <w:autoSpaceDE w:val="0"/>
        <w:autoSpaceDN w:val="0"/>
        <w:adjustRightInd w:val="0"/>
      </w:pPr>
    </w:p>
    <w:p w:rsidR="002C7E6A" w:rsidRDefault="002C7E6A" w:rsidP="00AA38B6">
      <w:pPr>
        <w:autoSpaceDE w:val="0"/>
        <w:autoSpaceDN w:val="0"/>
        <w:adjustRightInd w:val="0"/>
      </w:pPr>
    </w:p>
    <w:p w:rsidR="00E2140F" w:rsidRPr="00636CB9" w:rsidRDefault="00E2140F" w:rsidP="006C38D9">
      <w:pPr>
        <w:autoSpaceDE w:val="0"/>
        <w:autoSpaceDN w:val="0"/>
        <w:adjustRightInd w:val="0"/>
        <w:spacing w:before="0" w:after="0"/>
        <w:rPr>
          <w:i/>
        </w:rPr>
      </w:pPr>
      <w:r w:rsidRPr="00636CB9">
        <w:rPr>
          <w:i/>
        </w:rPr>
        <w:t>/allkirjastatud digitaalselt/</w:t>
      </w:r>
    </w:p>
    <w:p w:rsidR="00E2140F" w:rsidRDefault="00E2140F" w:rsidP="006C38D9">
      <w:pPr>
        <w:autoSpaceDE w:val="0"/>
        <w:autoSpaceDN w:val="0"/>
        <w:adjustRightInd w:val="0"/>
        <w:spacing w:before="0" w:after="0"/>
      </w:pPr>
      <w:r>
        <w:t>Peeter Pällin</w:t>
      </w:r>
    </w:p>
    <w:p w:rsidR="00E2140F" w:rsidRDefault="00E2140F" w:rsidP="00663C97">
      <w:pPr>
        <w:autoSpaceDE w:val="0"/>
        <w:autoSpaceDN w:val="0"/>
        <w:adjustRightInd w:val="0"/>
        <w:spacing w:before="0" w:after="0"/>
      </w:pPr>
      <w:r>
        <w:t>kohtunik</w:t>
      </w:r>
    </w:p>
    <w:sectPr w:rsidR="00E2140F" w:rsidSect="002F6935">
      <w:footerReference w:type="even" r:id="rId8"/>
      <w:footerReference w:type="default" r:id="rId9"/>
      <w:pgSz w:w="11906" w:h="16838" w:code="9"/>
      <w:pgMar w:top="1258" w:right="926" w:bottom="899" w:left="12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66" w:rsidRDefault="004B2366" w:rsidP="00AA38B6">
      <w:r>
        <w:separator/>
      </w:r>
    </w:p>
  </w:endnote>
  <w:endnote w:type="continuationSeparator" w:id="0">
    <w:p w:rsidR="004B2366" w:rsidRDefault="004B2366" w:rsidP="00AA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0F" w:rsidRDefault="00E2140F" w:rsidP="00C27F2C">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E2140F" w:rsidRDefault="00E2140F" w:rsidP="00C27F2C">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8D9" w:rsidRDefault="006C38D9" w:rsidP="006C38D9">
    <w:pPr>
      <w:pStyle w:val="Jalus"/>
      <w:jc w:val="right"/>
    </w:pPr>
    <w:r>
      <w:t xml:space="preserve"> </w:t>
    </w:r>
    <w:r w:rsidRPr="006C38D9">
      <w:rPr>
        <w:bCs/>
        <w:sz w:val="20"/>
        <w:szCs w:val="20"/>
      </w:rPr>
      <w:fldChar w:fldCharType="begin"/>
    </w:r>
    <w:r w:rsidRPr="006C38D9">
      <w:rPr>
        <w:bCs/>
        <w:sz w:val="20"/>
        <w:szCs w:val="20"/>
      </w:rPr>
      <w:instrText>PAGE</w:instrText>
    </w:r>
    <w:r w:rsidRPr="006C38D9">
      <w:rPr>
        <w:bCs/>
        <w:sz w:val="20"/>
        <w:szCs w:val="20"/>
      </w:rPr>
      <w:fldChar w:fldCharType="separate"/>
    </w:r>
    <w:r w:rsidR="00FA51A0">
      <w:rPr>
        <w:bCs/>
        <w:noProof/>
        <w:sz w:val="20"/>
        <w:szCs w:val="20"/>
      </w:rPr>
      <w:t>3</w:t>
    </w:r>
    <w:r w:rsidRPr="006C38D9">
      <w:rPr>
        <w:bCs/>
        <w:sz w:val="20"/>
        <w:szCs w:val="20"/>
      </w:rPr>
      <w:fldChar w:fldCharType="end"/>
    </w:r>
    <w:r w:rsidRPr="006C38D9">
      <w:rPr>
        <w:sz w:val="20"/>
        <w:szCs w:val="20"/>
      </w:rPr>
      <w:t xml:space="preserve"> / </w:t>
    </w:r>
    <w:r w:rsidRPr="006C38D9">
      <w:rPr>
        <w:bCs/>
        <w:sz w:val="20"/>
        <w:szCs w:val="20"/>
      </w:rPr>
      <w:fldChar w:fldCharType="begin"/>
    </w:r>
    <w:r w:rsidRPr="006C38D9">
      <w:rPr>
        <w:bCs/>
        <w:sz w:val="20"/>
        <w:szCs w:val="20"/>
      </w:rPr>
      <w:instrText>NUMPAGES</w:instrText>
    </w:r>
    <w:r w:rsidRPr="006C38D9">
      <w:rPr>
        <w:bCs/>
        <w:sz w:val="20"/>
        <w:szCs w:val="20"/>
      </w:rPr>
      <w:fldChar w:fldCharType="separate"/>
    </w:r>
    <w:r w:rsidR="00FA51A0">
      <w:rPr>
        <w:bCs/>
        <w:noProof/>
        <w:sz w:val="20"/>
        <w:szCs w:val="20"/>
      </w:rPr>
      <w:t>3</w:t>
    </w:r>
    <w:r w:rsidRPr="006C38D9">
      <w:rPr>
        <w:bCs/>
        <w:sz w:val="20"/>
        <w:szCs w:val="20"/>
      </w:rPr>
      <w:fldChar w:fldCharType="end"/>
    </w:r>
  </w:p>
  <w:p w:rsidR="006C38D9" w:rsidRDefault="006C38D9">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66" w:rsidRDefault="004B2366" w:rsidP="00AA38B6">
      <w:r>
        <w:separator/>
      </w:r>
    </w:p>
  </w:footnote>
  <w:footnote w:type="continuationSeparator" w:id="0">
    <w:p w:rsidR="004B2366" w:rsidRDefault="004B2366" w:rsidP="00AA3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eastAsia="Times New Roman" w:cs="Times New Roman"/>
        <w:b/>
        <w:bCs/>
        <w:color w:val="000000"/>
        <w:sz w:val="24"/>
        <w:szCs w:val="24"/>
        <w:shd w:val="clear" w:color="auto" w:fil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3995DBE"/>
    <w:multiLevelType w:val="hybridMultilevel"/>
    <w:tmpl w:val="B212F6B6"/>
    <w:lvl w:ilvl="0" w:tplc="684A7FD6">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C4B3AF6"/>
    <w:multiLevelType w:val="hybridMultilevel"/>
    <w:tmpl w:val="3438BA86"/>
    <w:lvl w:ilvl="0" w:tplc="2F2C05F2">
      <w:start w:val="1"/>
      <w:numFmt w:val="decimal"/>
      <w:lvlText w:val="%1."/>
      <w:lvlJc w:val="left"/>
      <w:pPr>
        <w:tabs>
          <w:tab w:val="num" w:pos="720"/>
        </w:tabs>
        <w:ind w:left="720" w:hanging="360"/>
      </w:pPr>
      <w:rPr>
        <w:rFonts w:cs="Times New Roman"/>
        <w:b/>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1A46A0B"/>
    <w:multiLevelType w:val="hybridMultilevel"/>
    <w:tmpl w:val="B212F6B6"/>
    <w:lvl w:ilvl="0" w:tplc="684A7FD6">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7985CD6"/>
    <w:multiLevelType w:val="hybridMultilevel"/>
    <w:tmpl w:val="B212F6B6"/>
    <w:lvl w:ilvl="0" w:tplc="684A7FD6">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AA5DD4"/>
    <w:multiLevelType w:val="hybridMultilevel"/>
    <w:tmpl w:val="AA8AE37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68F718E8"/>
    <w:multiLevelType w:val="hybridMultilevel"/>
    <w:tmpl w:val="D850119A"/>
    <w:lvl w:ilvl="0" w:tplc="B1440222">
      <w:start w:val="1"/>
      <w:numFmt w:val="decimal"/>
      <w:lvlText w:val="%1."/>
      <w:lvlJc w:val="left"/>
      <w:pPr>
        <w:tabs>
          <w:tab w:val="num" w:pos="720"/>
        </w:tabs>
        <w:ind w:left="720" w:hanging="360"/>
      </w:pPr>
      <w:rPr>
        <w:rFonts w:ascii="Times New Roman" w:eastAsia="Times New Roman" w:hAnsi="Times New Roman"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7" w15:restartNumberingAfterBreak="0">
    <w:nsid w:val="72C95FD8"/>
    <w:multiLevelType w:val="hybridMultilevel"/>
    <w:tmpl w:val="8DC085C0"/>
    <w:lvl w:ilvl="0" w:tplc="0409000F">
      <w:start w:val="1"/>
      <w:numFmt w:val="decimal"/>
      <w:lvlText w:val="%1."/>
      <w:lvlJc w:val="left"/>
      <w:pPr>
        <w:tabs>
          <w:tab w:val="num" w:pos="1800"/>
        </w:tabs>
        <w:ind w:left="1800" w:hanging="360"/>
      </w:p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num w:numId="1">
    <w:abstractNumId w:val="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B6"/>
    <w:rsid w:val="0000141A"/>
    <w:rsid w:val="00010E84"/>
    <w:rsid w:val="0001509C"/>
    <w:rsid w:val="00017B98"/>
    <w:rsid w:val="00034284"/>
    <w:rsid w:val="0004111B"/>
    <w:rsid w:val="00071E51"/>
    <w:rsid w:val="00087BFB"/>
    <w:rsid w:val="000B168D"/>
    <w:rsid w:val="000C7D19"/>
    <w:rsid w:val="000C7F7B"/>
    <w:rsid w:val="000E7318"/>
    <w:rsid w:val="000F6836"/>
    <w:rsid w:val="00133CB6"/>
    <w:rsid w:val="001660A6"/>
    <w:rsid w:val="001B01F2"/>
    <w:rsid w:val="001D43AA"/>
    <w:rsid w:val="001D44CC"/>
    <w:rsid w:val="001D78B4"/>
    <w:rsid w:val="001E0F7E"/>
    <w:rsid w:val="001F04C3"/>
    <w:rsid w:val="0029346E"/>
    <w:rsid w:val="002A1A1B"/>
    <w:rsid w:val="002A3A7C"/>
    <w:rsid w:val="002B78EE"/>
    <w:rsid w:val="002C7E6A"/>
    <w:rsid w:val="002E1240"/>
    <w:rsid w:val="002E245C"/>
    <w:rsid w:val="002E50DB"/>
    <w:rsid w:val="002F40D8"/>
    <w:rsid w:val="002F4615"/>
    <w:rsid w:val="002F6935"/>
    <w:rsid w:val="002F7EBA"/>
    <w:rsid w:val="00302B13"/>
    <w:rsid w:val="00330983"/>
    <w:rsid w:val="003C2263"/>
    <w:rsid w:val="003D0405"/>
    <w:rsid w:val="003F0345"/>
    <w:rsid w:val="003F2A34"/>
    <w:rsid w:val="003F36E0"/>
    <w:rsid w:val="00423B6A"/>
    <w:rsid w:val="004605BE"/>
    <w:rsid w:val="004A1BDA"/>
    <w:rsid w:val="004A34B1"/>
    <w:rsid w:val="004B2366"/>
    <w:rsid w:val="004C50B8"/>
    <w:rsid w:val="004F2F27"/>
    <w:rsid w:val="00500FB5"/>
    <w:rsid w:val="00537196"/>
    <w:rsid w:val="0055710E"/>
    <w:rsid w:val="005766BC"/>
    <w:rsid w:val="00586A20"/>
    <w:rsid w:val="005A5320"/>
    <w:rsid w:val="005B31BC"/>
    <w:rsid w:val="005F4883"/>
    <w:rsid w:val="00601C81"/>
    <w:rsid w:val="00627D40"/>
    <w:rsid w:val="00633E80"/>
    <w:rsid w:val="00636CB9"/>
    <w:rsid w:val="00652D2F"/>
    <w:rsid w:val="00655027"/>
    <w:rsid w:val="00663C97"/>
    <w:rsid w:val="00670CBB"/>
    <w:rsid w:val="006C38D9"/>
    <w:rsid w:val="006C4DAF"/>
    <w:rsid w:val="006E6619"/>
    <w:rsid w:val="0071385F"/>
    <w:rsid w:val="00720CB6"/>
    <w:rsid w:val="007213B7"/>
    <w:rsid w:val="00731F63"/>
    <w:rsid w:val="00781EB0"/>
    <w:rsid w:val="0079439C"/>
    <w:rsid w:val="00794C42"/>
    <w:rsid w:val="00795BC9"/>
    <w:rsid w:val="007D4C16"/>
    <w:rsid w:val="00800FDF"/>
    <w:rsid w:val="0082554C"/>
    <w:rsid w:val="00841884"/>
    <w:rsid w:val="008427AA"/>
    <w:rsid w:val="008525F3"/>
    <w:rsid w:val="0086360A"/>
    <w:rsid w:val="00865881"/>
    <w:rsid w:val="0089158F"/>
    <w:rsid w:val="00894FFF"/>
    <w:rsid w:val="0089761E"/>
    <w:rsid w:val="00913E6C"/>
    <w:rsid w:val="0092640B"/>
    <w:rsid w:val="00983E87"/>
    <w:rsid w:val="009930D9"/>
    <w:rsid w:val="009957B9"/>
    <w:rsid w:val="009C0E0B"/>
    <w:rsid w:val="009F2CB0"/>
    <w:rsid w:val="009F586B"/>
    <w:rsid w:val="00A0617F"/>
    <w:rsid w:val="00A37953"/>
    <w:rsid w:val="00A831B8"/>
    <w:rsid w:val="00AA38B6"/>
    <w:rsid w:val="00AA7A2C"/>
    <w:rsid w:val="00B05179"/>
    <w:rsid w:val="00B17FCA"/>
    <w:rsid w:val="00B80CBD"/>
    <w:rsid w:val="00BA3B4A"/>
    <w:rsid w:val="00BB4728"/>
    <w:rsid w:val="00BD63BC"/>
    <w:rsid w:val="00BF218D"/>
    <w:rsid w:val="00C1129C"/>
    <w:rsid w:val="00C14CFF"/>
    <w:rsid w:val="00C26B0B"/>
    <w:rsid w:val="00C27F2C"/>
    <w:rsid w:val="00C31A48"/>
    <w:rsid w:val="00C36961"/>
    <w:rsid w:val="00C57514"/>
    <w:rsid w:val="00C93C1C"/>
    <w:rsid w:val="00C9698D"/>
    <w:rsid w:val="00CA530D"/>
    <w:rsid w:val="00CA6736"/>
    <w:rsid w:val="00CF6869"/>
    <w:rsid w:val="00D005AE"/>
    <w:rsid w:val="00D3506D"/>
    <w:rsid w:val="00D5277C"/>
    <w:rsid w:val="00D653D8"/>
    <w:rsid w:val="00D7497D"/>
    <w:rsid w:val="00D90FAE"/>
    <w:rsid w:val="00D95452"/>
    <w:rsid w:val="00DB0012"/>
    <w:rsid w:val="00DE7750"/>
    <w:rsid w:val="00E011DA"/>
    <w:rsid w:val="00E12DB5"/>
    <w:rsid w:val="00E1302E"/>
    <w:rsid w:val="00E2140F"/>
    <w:rsid w:val="00E4509F"/>
    <w:rsid w:val="00E547A4"/>
    <w:rsid w:val="00E66DEE"/>
    <w:rsid w:val="00F250F2"/>
    <w:rsid w:val="00F55DA7"/>
    <w:rsid w:val="00F643B9"/>
    <w:rsid w:val="00FA51A0"/>
    <w:rsid w:val="00FC3C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115DA40-13D7-4D38-A802-739B73FC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C38D9"/>
    <w:pPr>
      <w:spacing w:before="120" w:after="120"/>
      <w:jc w:val="both"/>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AA38B6"/>
    <w:pPr>
      <w:tabs>
        <w:tab w:val="center" w:pos="4536"/>
        <w:tab w:val="right" w:pos="9072"/>
      </w:tabs>
    </w:pPr>
    <w:rPr>
      <w:szCs w:val="20"/>
      <w:lang w:val="en-GB" w:eastAsia="en-US"/>
    </w:rPr>
  </w:style>
  <w:style w:type="character" w:customStyle="1" w:styleId="PisMrk">
    <w:name w:val="Päis Märk"/>
    <w:link w:val="Pis"/>
    <w:uiPriority w:val="99"/>
    <w:locked/>
    <w:rsid w:val="00AA38B6"/>
    <w:rPr>
      <w:rFonts w:cs="Times New Roman"/>
      <w:sz w:val="24"/>
      <w:lang w:val="en-GB" w:eastAsia="en-US"/>
    </w:rPr>
  </w:style>
  <w:style w:type="paragraph" w:styleId="Jalus">
    <w:name w:val="footer"/>
    <w:basedOn w:val="Normaallaad"/>
    <w:link w:val="JalusMrk"/>
    <w:uiPriority w:val="99"/>
    <w:rsid w:val="00AA38B6"/>
    <w:pPr>
      <w:tabs>
        <w:tab w:val="center" w:pos="4536"/>
        <w:tab w:val="right" w:pos="9072"/>
      </w:tabs>
    </w:pPr>
  </w:style>
  <w:style w:type="character" w:customStyle="1" w:styleId="JalusMrk">
    <w:name w:val="Jalus Märk"/>
    <w:link w:val="Jalus"/>
    <w:uiPriority w:val="99"/>
    <w:locked/>
    <w:rsid w:val="00AA38B6"/>
    <w:rPr>
      <w:rFonts w:cs="Times New Roman"/>
      <w:sz w:val="24"/>
      <w:szCs w:val="24"/>
    </w:rPr>
  </w:style>
  <w:style w:type="character" w:styleId="Lehekljenumber">
    <w:name w:val="page number"/>
    <w:uiPriority w:val="99"/>
    <w:rsid w:val="00AA38B6"/>
    <w:rPr>
      <w:rFonts w:cs="Times New Roman"/>
    </w:rPr>
  </w:style>
  <w:style w:type="character" w:styleId="Hperlink">
    <w:name w:val="Hyperlink"/>
    <w:uiPriority w:val="99"/>
    <w:rsid w:val="00AA38B6"/>
    <w:rPr>
      <w:rFonts w:cs="Times New Roman"/>
      <w:color w:val="0000FF"/>
      <w:u w:val="single"/>
    </w:rPr>
  </w:style>
  <w:style w:type="paragraph" w:styleId="Jutumullitekst">
    <w:name w:val="Balloon Text"/>
    <w:basedOn w:val="Normaallaad"/>
    <w:link w:val="JutumullitekstMrk"/>
    <w:uiPriority w:val="99"/>
    <w:rsid w:val="00AA38B6"/>
    <w:rPr>
      <w:rFonts w:ascii="Tahoma" w:hAnsi="Tahoma" w:cs="Tahoma"/>
      <w:sz w:val="16"/>
      <w:szCs w:val="16"/>
    </w:rPr>
  </w:style>
  <w:style w:type="character" w:customStyle="1" w:styleId="JutumullitekstMrk">
    <w:name w:val="Jutumullitekst Märk"/>
    <w:link w:val="Jutumullitekst"/>
    <w:uiPriority w:val="99"/>
    <w:locked/>
    <w:rsid w:val="00AA38B6"/>
    <w:rPr>
      <w:rFonts w:ascii="Tahoma" w:hAnsi="Tahoma" w:cs="Tahoma"/>
      <w:sz w:val="16"/>
      <w:szCs w:val="16"/>
    </w:rPr>
  </w:style>
  <w:style w:type="character" w:customStyle="1" w:styleId="data-field">
    <w:name w:val="data-field"/>
    <w:basedOn w:val="Liguvaikefont"/>
    <w:rsid w:val="002E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4403">
      <w:bodyDiv w:val="1"/>
      <w:marLeft w:val="0"/>
      <w:marRight w:val="0"/>
      <w:marTop w:val="0"/>
      <w:marBottom w:val="0"/>
      <w:divBdr>
        <w:top w:val="none" w:sz="0" w:space="0" w:color="auto"/>
        <w:left w:val="none" w:sz="0" w:space="0" w:color="auto"/>
        <w:bottom w:val="none" w:sz="0" w:space="0" w:color="auto"/>
        <w:right w:val="none" w:sz="0" w:space="0" w:color="auto"/>
      </w:divBdr>
    </w:div>
    <w:div w:id="62918046">
      <w:bodyDiv w:val="1"/>
      <w:marLeft w:val="0"/>
      <w:marRight w:val="0"/>
      <w:marTop w:val="0"/>
      <w:marBottom w:val="0"/>
      <w:divBdr>
        <w:top w:val="none" w:sz="0" w:space="0" w:color="auto"/>
        <w:left w:val="none" w:sz="0" w:space="0" w:color="auto"/>
        <w:bottom w:val="none" w:sz="0" w:space="0" w:color="auto"/>
        <w:right w:val="none" w:sz="0" w:space="0" w:color="auto"/>
      </w:divBdr>
      <w:divsChild>
        <w:div w:id="669917388">
          <w:marLeft w:val="0"/>
          <w:marRight w:val="0"/>
          <w:marTop w:val="0"/>
          <w:marBottom w:val="0"/>
          <w:divBdr>
            <w:top w:val="none" w:sz="0" w:space="0" w:color="auto"/>
            <w:left w:val="none" w:sz="0" w:space="0" w:color="auto"/>
            <w:bottom w:val="none" w:sz="0" w:space="0" w:color="auto"/>
            <w:right w:val="none" w:sz="0" w:space="0" w:color="auto"/>
          </w:divBdr>
        </w:div>
      </w:divsChild>
    </w:div>
    <w:div w:id="141973464">
      <w:bodyDiv w:val="1"/>
      <w:marLeft w:val="0"/>
      <w:marRight w:val="0"/>
      <w:marTop w:val="0"/>
      <w:marBottom w:val="0"/>
      <w:divBdr>
        <w:top w:val="none" w:sz="0" w:space="0" w:color="auto"/>
        <w:left w:val="none" w:sz="0" w:space="0" w:color="auto"/>
        <w:bottom w:val="none" w:sz="0" w:space="0" w:color="auto"/>
        <w:right w:val="none" w:sz="0" w:space="0" w:color="auto"/>
      </w:divBdr>
    </w:div>
    <w:div w:id="255410655">
      <w:bodyDiv w:val="1"/>
      <w:marLeft w:val="0"/>
      <w:marRight w:val="0"/>
      <w:marTop w:val="0"/>
      <w:marBottom w:val="0"/>
      <w:divBdr>
        <w:top w:val="none" w:sz="0" w:space="0" w:color="auto"/>
        <w:left w:val="none" w:sz="0" w:space="0" w:color="auto"/>
        <w:bottom w:val="none" w:sz="0" w:space="0" w:color="auto"/>
        <w:right w:val="none" w:sz="0" w:space="0" w:color="auto"/>
      </w:divBdr>
    </w:div>
    <w:div w:id="639654024">
      <w:bodyDiv w:val="1"/>
      <w:marLeft w:val="0"/>
      <w:marRight w:val="0"/>
      <w:marTop w:val="0"/>
      <w:marBottom w:val="0"/>
      <w:divBdr>
        <w:top w:val="none" w:sz="0" w:space="0" w:color="auto"/>
        <w:left w:val="none" w:sz="0" w:space="0" w:color="auto"/>
        <w:bottom w:val="none" w:sz="0" w:space="0" w:color="auto"/>
        <w:right w:val="none" w:sz="0" w:space="0" w:color="auto"/>
      </w:divBdr>
    </w:div>
    <w:div w:id="1348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4980</Characters>
  <Application>Microsoft Office Word</Application>
  <DocSecurity>0</DocSecurity>
  <Lines>41</Lines>
  <Paragraphs>11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lpstr>
    </vt:vector>
  </TitlesOfParts>
  <Company>Justiitsministeerium</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Ervin Makko</dc:creator>
  <cp:lastModifiedBy>Peeter Pällin</cp:lastModifiedBy>
  <cp:revision>2</cp:revision>
  <dcterms:created xsi:type="dcterms:W3CDTF">2019-10-24T09:14:00Z</dcterms:created>
  <dcterms:modified xsi:type="dcterms:W3CDTF">2019-10-24T09:14:00Z</dcterms:modified>
</cp:coreProperties>
</file>